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3A" w:rsidRDefault="006B04AB">
      <w:pPr>
        <w:spacing w:after="80"/>
      </w:pPr>
      <w:r>
        <w:rPr>
          <w:b/>
          <w:bCs/>
          <w:sz w:val="36"/>
          <w:szCs w:val="36"/>
        </w:rPr>
        <w:t xml:space="preserve">Estimated Value </w:t>
      </w:r>
      <w:proofErr w:type="gramStart"/>
      <w:r>
        <w:rPr>
          <w:b/>
          <w:bCs/>
          <w:sz w:val="36"/>
          <w:szCs w:val="36"/>
        </w:rPr>
        <w:t>Of</w:t>
      </w:r>
      <w:proofErr w:type="gramEnd"/>
      <w:r>
        <w:rPr>
          <w:b/>
          <w:bCs/>
          <w:sz w:val="36"/>
          <w:szCs w:val="36"/>
        </w:rPr>
        <w:t xml:space="preserve"> </w:t>
      </w:r>
      <w:r w:rsidR="000C3B49">
        <w:rPr>
          <w:b/>
          <w:bCs/>
          <w:sz w:val="36"/>
          <w:szCs w:val="36"/>
        </w:rPr>
        <w:t>4230 Lions Avenue</w:t>
      </w:r>
      <w:r w:rsidR="00CE3635">
        <w:rPr>
          <w:b/>
          <w:bCs/>
          <w:sz w:val="36"/>
          <w:szCs w:val="36"/>
        </w:rPr>
        <w:t>, North Vancouver</w:t>
      </w:r>
    </w:p>
    <w:p w:rsidR="0066613A" w:rsidRPr="00CE3635" w:rsidRDefault="0066613A" w:rsidP="00CE3635">
      <w:pPr>
        <w:pBdr>
          <w:bottom w:val="single" w:sz="6" w:space="0" w:color="999999"/>
        </w:pBdr>
        <w:spacing w:after="40"/>
        <w:rPr>
          <w:sz w:val="2"/>
        </w:rPr>
      </w:pPr>
    </w:p>
    <w:p w:rsidR="0066613A" w:rsidRDefault="000C3B49">
      <w:pPr>
        <w:pStyle w:val="Heading2"/>
      </w:pPr>
      <w:r>
        <w:t>Comparable Properties in Edgemont</w:t>
      </w:r>
    </w:p>
    <w:p w:rsidR="0066613A" w:rsidRDefault="000C3B49">
      <w:pPr>
        <w:spacing w:after="140"/>
      </w:pPr>
      <w:r>
        <w:rPr>
          <w:sz w:val="21"/>
          <w:szCs w:val="21"/>
        </w:rPr>
        <w:t xml:space="preserve">There are no true </w:t>
      </w:r>
      <w:proofErr w:type="spellStart"/>
      <w:r>
        <w:rPr>
          <w:sz w:val="21"/>
          <w:szCs w:val="21"/>
        </w:rPr>
        <w:t>comparables</w:t>
      </w:r>
      <w:proofErr w:type="spellEnd"/>
      <w:r>
        <w:rPr>
          <w:sz w:val="21"/>
          <w:szCs w:val="21"/>
        </w:rPr>
        <w:t xml:space="preserve"> for 4230 Lions Avenue in the Edgemont </w:t>
      </w:r>
      <w:proofErr w:type="spellStart"/>
      <w:r>
        <w:rPr>
          <w:sz w:val="21"/>
          <w:szCs w:val="21"/>
        </w:rPr>
        <w:t>neighbourhood</w:t>
      </w:r>
      <w:proofErr w:type="spellEnd"/>
      <w:r>
        <w:rPr>
          <w:sz w:val="21"/>
          <w:szCs w:val="21"/>
        </w:rPr>
        <w:t>. The combination of architectural design, construction quality, and integrated athletic and entertainment facilities is not replicated in any recent Edgemont sale. A buyer wh</w:t>
      </w:r>
      <w:r>
        <w:rPr>
          <w:sz w:val="21"/>
          <w:szCs w:val="21"/>
        </w:rPr>
        <w:t>o wants a custom-architected, sports-and-entertainment home built to this standard on a prime Edgemont lot has only two paths forward.</w:t>
      </w:r>
    </w:p>
    <w:p w:rsidR="0066613A" w:rsidRDefault="000C3B49">
      <w:pPr>
        <w:spacing w:after="140"/>
      </w:pPr>
      <w:r>
        <w:rPr>
          <w:sz w:val="21"/>
          <w:szCs w:val="21"/>
        </w:rPr>
        <w:t xml:space="preserve">The first path is to build it themselves. That requires acquiring a comparable lot, </w:t>
      </w:r>
      <w:r>
        <w:rPr>
          <w:sz w:val="21"/>
          <w:szCs w:val="21"/>
        </w:rPr>
        <w:t>engagin</w:t>
      </w:r>
      <w:r>
        <w:rPr>
          <w:sz w:val="21"/>
          <w:szCs w:val="21"/>
        </w:rPr>
        <w:t>g an architect and contractor, and committing to roughly 3.25 years of planning, permitting and construction, plus substantial personal time guiding the project — three years during which their kids grow up, family routines are disrupted, and they carry th</w:t>
      </w:r>
      <w:r>
        <w:rPr>
          <w:sz w:val="21"/>
          <w:szCs w:val="21"/>
        </w:rPr>
        <w:t>e financing costs of an unfinished home. The second path is to purchase 4230 Lions Avenue turnkey today</w:t>
      </w:r>
      <w:r w:rsidR="006B04AB">
        <w:rPr>
          <w:sz w:val="21"/>
          <w:szCs w:val="21"/>
        </w:rPr>
        <w:t>,</w:t>
      </w:r>
      <w:r>
        <w:rPr>
          <w:sz w:val="21"/>
          <w:szCs w:val="21"/>
        </w:rPr>
        <w:t xml:space="preserve"> with </w:t>
      </w:r>
      <w:r>
        <w:rPr>
          <w:sz w:val="21"/>
          <w:szCs w:val="21"/>
        </w:rPr>
        <w:t>immediate occupancy.</w:t>
      </w:r>
    </w:p>
    <w:p w:rsidR="0066613A" w:rsidRDefault="000C3B49">
      <w:pPr>
        <w:pStyle w:val="Heading2"/>
      </w:pPr>
      <w:r>
        <w:t>Replacement Cost Approach</w:t>
      </w:r>
    </w:p>
    <w:p w:rsidR="0066613A" w:rsidRDefault="000C3B49">
      <w:pPr>
        <w:spacing w:after="140"/>
      </w:pPr>
      <w:r>
        <w:rPr>
          <w:sz w:val="21"/>
          <w:szCs w:val="21"/>
        </w:rPr>
        <w:t>This analysis estimates the value of 4230 Lions Avenue using a replac</w:t>
      </w:r>
      <w:r>
        <w:rPr>
          <w:sz w:val="21"/>
          <w:szCs w:val="21"/>
        </w:rPr>
        <w:t>ement cost less depreciation approach. The method asks: what would it cost a buyer today to reproduce this property from scratch — acquiring a comparable lot, paying property transfer tax, constructing the home to the same specification, and carrying the f</w:t>
      </w:r>
      <w:r>
        <w:rPr>
          <w:sz w:val="21"/>
          <w:szCs w:val="21"/>
        </w:rPr>
        <w:t>inancing through to completion — and then applies a depreciation adjustment to reflect the age of the existing structure, systems, and finishes.</w:t>
      </w:r>
    </w:p>
    <w:p w:rsidR="0066613A" w:rsidRDefault="000C3B49">
      <w:pPr>
        <w:spacing w:after="140"/>
      </w:pPr>
      <w:r>
        <w:rPr>
          <w:sz w:val="21"/>
          <w:szCs w:val="21"/>
        </w:rPr>
        <w:t xml:space="preserve">The construction cost is </w:t>
      </w:r>
      <w:r w:rsidRPr="00CE3635">
        <w:rPr>
          <w:i/>
          <w:sz w:val="21"/>
          <w:szCs w:val="21"/>
        </w:rPr>
        <w:t>conservatively</w:t>
      </w:r>
      <w:r>
        <w:rPr>
          <w:sz w:val="21"/>
          <w:szCs w:val="21"/>
        </w:rPr>
        <w:t xml:space="preserve"> estimated bottom-up rather than as a single figure. The anchor</w:t>
      </w:r>
      <w:r w:rsidR="00FE49F7">
        <w:rPr>
          <w:sz w:val="21"/>
          <w:szCs w:val="21"/>
        </w:rPr>
        <w:t>s</w:t>
      </w:r>
      <w:r>
        <w:rPr>
          <w:sz w:val="21"/>
          <w:szCs w:val="21"/>
        </w:rPr>
        <w:t xml:space="preserve"> </w:t>
      </w:r>
      <w:r w:rsidR="00FE49F7">
        <w:rPr>
          <w:sz w:val="21"/>
          <w:szCs w:val="21"/>
        </w:rPr>
        <w:t>are the</w:t>
      </w:r>
      <w:r w:rsidR="006135B0">
        <w:rPr>
          <w:sz w:val="21"/>
          <w:szCs w:val="21"/>
        </w:rPr>
        <w:t xml:space="preserve"> </w:t>
      </w:r>
      <w:r w:rsidR="00FE49F7">
        <w:rPr>
          <w:sz w:val="21"/>
          <w:szCs w:val="21"/>
        </w:rPr>
        <w:t xml:space="preserve">lot value estimated at $2.3M and </w:t>
      </w:r>
      <w:r>
        <w:rPr>
          <w:sz w:val="21"/>
          <w:szCs w:val="21"/>
        </w:rPr>
        <w:t xml:space="preserve">the </w:t>
      </w:r>
      <w:r>
        <w:rPr>
          <w:sz w:val="21"/>
          <w:szCs w:val="21"/>
        </w:rPr>
        <w:t xml:space="preserve">all-in </w:t>
      </w:r>
      <w:r w:rsidR="00FE49F7">
        <w:rPr>
          <w:sz w:val="21"/>
          <w:szCs w:val="21"/>
        </w:rPr>
        <w:t xml:space="preserve">estimated 2026 </w:t>
      </w:r>
      <w:r>
        <w:rPr>
          <w:sz w:val="21"/>
          <w:szCs w:val="21"/>
        </w:rPr>
        <w:t xml:space="preserve">cost of a </w:t>
      </w:r>
      <w:r w:rsidR="006135B0">
        <w:rPr>
          <w:sz w:val="21"/>
          <w:szCs w:val="21"/>
        </w:rPr>
        <w:t xml:space="preserve">typical </w:t>
      </w:r>
      <w:r>
        <w:rPr>
          <w:sz w:val="21"/>
          <w:szCs w:val="21"/>
        </w:rPr>
        <w:t xml:space="preserve">custom build of comparable size in the same </w:t>
      </w:r>
      <w:proofErr w:type="spellStart"/>
      <w:r>
        <w:rPr>
          <w:sz w:val="21"/>
          <w:szCs w:val="21"/>
        </w:rPr>
        <w:t>neighbourhood</w:t>
      </w:r>
      <w:proofErr w:type="spellEnd"/>
      <w:r w:rsidR="00FE49F7">
        <w:rPr>
          <w:sz w:val="21"/>
          <w:szCs w:val="21"/>
        </w:rPr>
        <w:t xml:space="preserve"> at $3.2</w:t>
      </w:r>
      <w:r w:rsidR="006135B0">
        <w:rPr>
          <w:sz w:val="21"/>
          <w:szCs w:val="21"/>
        </w:rPr>
        <w:t>2</w:t>
      </w:r>
      <w:r w:rsidR="00FE49F7">
        <w:rPr>
          <w:sz w:val="21"/>
          <w:szCs w:val="21"/>
        </w:rPr>
        <w:t>M</w:t>
      </w:r>
      <w:r>
        <w:rPr>
          <w:sz w:val="21"/>
          <w:szCs w:val="21"/>
        </w:rPr>
        <w:t>.</w:t>
      </w:r>
      <w:r w:rsidR="00FE49F7">
        <w:rPr>
          <w:sz w:val="21"/>
          <w:szCs w:val="21"/>
        </w:rPr>
        <w:t xml:space="preserve"> From this $5.</w:t>
      </w:r>
      <w:r w:rsidR="00CE3635">
        <w:rPr>
          <w:sz w:val="21"/>
          <w:szCs w:val="21"/>
        </w:rPr>
        <w:t>5</w:t>
      </w:r>
      <w:r w:rsidR="006B04AB">
        <w:rPr>
          <w:sz w:val="21"/>
          <w:szCs w:val="21"/>
        </w:rPr>
        <w:t>2</w:t>
      </w:r>
      <w:r w:rsidR="00FE49F7">
        <w:rPr>
          <w:sz w:val="21"/>
          <w:szCs w:val="21"/>
        </w:rPr>
        <w:t>M value</w:t>
      </w:r>
      <w:r w:rsidR="006135B0">
        <w:rPr>
          <w:sz w:val="21"/>
          <w:szCs w:val="21"/>
        </w:rPr>
        <w:t xml:space="preserve"> of a typical Edgemont custom build</w:t>
      </w:r>
      <w:r w:rsidR="006B04AB">
        <w:rPr>
          <w:sz w:val="21"/>
          <w:szCs w:val="21"/>
        </w:rPr>
        <w:t xml:space="preserve"> (which is consistent with recent sales prices)</w:t>
      </w:r>
      <w:r w:rsidR="006135B0">
        <w:rPr>
          <w:sz w:val="21"/>
          <w:szCs w:val="21"/>
        </w:rPr>
        <w:t>,</w:t>
      </w:r>
      <w:r>
        <w:rPr>
          <w:sz w:val="21"/>
          <w:szCs w:val="21"/>
        </w:rPr>
        <w:t xml:space="preserve"> a line-by-line comparison of materials, fixtures, and systems </w:t>
      </w:r>
      <w:r w:rsidR="00FE49F7">
        <w:rPr>
          <w:sz w:val="21"/>
          <w:szCs w:val="21"/>
        </w:rPr>
        <w:t xml:space="preserve">is done on </w:t>
      </w:r>
      <w:r w:rsidR="006B04AB">
        <w:rPr>
          <w:sz w:val="21"/>
          <w:szCs w:val="21"/>
        </w:rPr>
        <w:t xml:space="preserve">identified </w:t>
      </w:r>
      <w:r w:rsidR="00FE49F7">
        <w:rPr>
          <w:sz w:val="21"/>
          <w:szCs w:val="21"/>
        </w:rPr>
        <w:t xml:space="preserve">items </w:t>
      </w:r>
      <w:r>
        <w:rPr>
          <w:sz w:val="21"/>
          <w:szCs w:val="21"/>
        </w:rPr>
        <w:t>where 4230 carries a higher specification; and the addition in full of facilities unique to 4230 — sports pool, hockey rink, home theatre, outdoo</w:t>
      </w:r>
      <w:r>
        <w:rPr>
          <w:sz w:val="21"/>
          <w:szCs w:val="21"/>
        </w:rPr>
        <w:t xml:space="preserve">r kitchen with glass enclosure, and putting green — as they have no equivalent in </w:t>
      </w:r>
      <w:r w:rsidR="00FE49F7">
        <w:rPr>
          <w:sz w:val="21"/>
          <w:szCs w:val="21"/>
        </w:rPr>
        <w:t xml:space="preserve">a </w:t>
      </w:r>
      <w:r>
        <w:rPr>
          <w:sz w:val="21"/>
          <w:szCs w:val="21"/>
        </w:rPr>
        <w:t xml:space="preserve">comparison </w:t>
      </w:r>
      <w:r w:rsidR="00FE49F7">
        <w:rPr>
          <w:sz w:val="21"/>
          <w:szCs w:val="21"/>
        </w:rPr>
        <w:t xml:space="preserve">typical custom build </w:t>
      </w:r>
      <w:r>
        <w:rPr>
          <w:sz w:val="21"/>
          <w:szCs w:val="21"/>
        </w:rPr>
        <w:t>home</w:t>
      </w:r>
      <w:r w:rsidR="00FE49F7">
        <w:rPr>
          <w:sz w:val="21"/>
          <w:szCs w:val="21"/>
        </w:rPr>
        <w:t xml:space="preserve"> in the neighborhood</w:t>
      </w:r>
      <w:r>
        <w:rPr>
          <w:sz w:val="21"/>
          <w:szCs w:val="21"/>
        </w:rPr>
        <w:t>.</w:t>
      </w:r>
    </w:p>
    <w:p w:rsidR="0066613A" w:rsidRDefault="000C3B49">
      <w:pPr>
        <w:spacing w:after="140"/>
      </w:pPr>
      <w:r>
        <w:rPr>
          <w:sz w:val="21"/>
          <w:szCs w:val="21"/>
        </w:rPr>
        <w:t xml:space="preserve">The detailed comparison identifies approximately $2.22M in </w:t>
      </w:r>
      <w:r w:rsidR="006B04AB">
        <w:rPr>
          <w:sz w:val="21"/>
          <w:szCs w:val="21"/>
        </w:rPr>
        <w:t xml:space="preserve">costs for these </w:t>
      </w:r>
      <w:r>
        <w:rPr>
          <w:sz w:val="21"/>
          <w:szCs w:val="21"/>
        </w:rPr>
        <w:t>upgrade</w:t>
      </w:r>
      <w:r w:rsidR="006B04AB">
        <w:rPr>
          <w:sz w:val="21"/>
          <w:szCs w:val="21"/>
        </w:rPr>
        <w:t>d</w:t>
      </w:r>
      <w:r>
        <w:rPr>
          <w:sz w:val="21"/>
          <w:szCs w:val="21"/>
        </w:rPr>
        <w:t xml:space="preserve"> </w:t>
      </w:r>
      <w:r w:rsidR="00FE49F7">
        <w:rPr>
          <w:sz w:val="21"/>
          <w:szCs w:val="21"/>
        </w:rPr>
        <w:t xml:space="preserve">and additional </w:t>
      </w:r>
      <w:r>
        <w:rPr>
          <w:sz w:val="21"/>
          <w:szCs w:val="21"/>
        </w:rPr>
        <w:t>items at 4230 Lions Avenue, against approximately $9</w:t>
      </w:r>
      <w:r w:rsidR="00D75F79">
        <w:rPr>
          <w:sz w:val="21"/>
          <w:szCs w:val="21"/>
        </w:rPr>
        <w:t>35</w:t>
      </w:r>
      <w:r>
        <w:rPr>
          <w:sz w:val="21"/>
          <w:szCs w:val="21"/>
        </w:rPr>
        <w:t>,000 in costs incurred for the s</w:t>
      </w:r>
      <w:r>
        <w:rPr>
          <w:sz w:val="21"/>
          <w:szCs w:val="21"/>
        </w:rPr>
        <w:t xml:space="preserve">ame items in the </w:t>
      </w:r>
      <w:r w:rsidR="00FE49F7">
        <w:rPr>
          <w:sz w:val="21"/>
          <w:szCs w:val="21"/>
        </w:rPr>
        <w:t xml:space="preserve">typical Edgemont custom </w:t>
      </w:r>
      <w:r>
        <w:rPr>
          <w:sz w:val="21"/>
          <w:szCs w:val="21"/>
        </w:rPr>
        <w:t>build</w:t>
      </w:r>
      <w:r w:rsidR="00FE49F7">
        <w:rPr>
          <w:sz w:val="21"/>
          <w:szCs w:val="21"/>
        </w:rPr>
        <w:t xml:space="preserve"> (to the extent they would exist)</w:t>
      </w:r>
      <w:r>
        <w:rPr>
          <w:sz w:val="21"/>
          <w:szCs w:val="21"/>
        </w:rPr>
        <w:t>, producing a net premium of approximately $1.28M (see table on page 2).</w:t>
      </w:r>
      <w:r w:rsidR="006B04AB">
        <w:rPr>
          <w:sz w:val="21"/>
          <w:szCs w:val="21"/>
        </w:rPr>
        <w:t xml:space="preserve">  This results in an estimated replacement cost for 4230 Lions Avenue of $4.5M (plus $2.3M lot values) excluding carrying costs. This is almost certainly understated as no additional contractor fee was calculated on the higher cost build and many smaller upgrade items were neither identified nor valued. </w:t>
      </w:r>
    </w:p>
    <w:p w:rsidR="0066613A" w:rsidRDefault="000C3B49">
      <w:pPr>
        <w:pStyle w:val="Heading2"/>
      </w:pPr>
      <w:r>
        <w:t>Depreciation</w:t>
      </w:r>
    </w:p>
    <w:p w:rsidR="0066613A" w:rsidRDefault="000C3B49">
      <w:pPr>
        <w:spacing w:after="140"/>
      </w:pPr>
      <w:r>
        <w:rPr>
          <w:sz w:val="21"/>
          <w:szCs w:val="21"/>
        </w:rPr>
        <w:t xml:space="preserve">The structure, envelope, millwork, stone, travertine, and </w:t>
      </w:r>
      <w:proofErr w:type="spellStart"/>
      <w:r>
        <w:rPr>
          <w:sz w:val="21"/>
          <w:szCs w:val="21"/>
        </w:rPr>
        <w:t>sapele</w:t>
      </w:r>
      <w:proofErr w:type="spellEnd"/>
      <w:r>
        <w:rPr>
          <w:sz w:val="21"/>
          <w:szCs w:val="21"/>
        </w:rPr>
        <w:t xml:space="preserve"> </w:t>
      </w:r>
      <w:r w:rsidR="006B04AB">
        <w:rPr>
          <w:sz w:val="21"/>
          <w:szCs w:val="21"/>
        </w:rPr>
        <w:t xml:space="preserve">hardwood </w:t>
      </w:r>
      <w:r>
        <w:rPr>
          <w:sz w:val="21"/>
          <w:szCs w:val="21"/>
        </w:rPr>
        <w:t>do not meaningfully de</w:t>
      </w:r>
      <w:r>
        <w:rPr>
          <w:sz w:val="21"/>
          <w:szCs w:val="21"/>
        </w:rPr>
        <w:t>preciate at 13 years</w:t>
      </w:r>
      <w:r w:rsidR="00CE3635">
        <w:rPr>
          <w:sz w:val="21"/>
          <w:szCs w:val="21"/>
        </w:rPr>
        <w:t>, especially when they’ve been meticulously maintained</w:t>
      </w:r>
      <w:r>
        <w:rPr>
          <w:sz w:val="21"/>
          <w:szCs w:val="21"/>
        </w:rPr>
        <w:t>. However, time-limited items — appliances, plumbing fixtures, the hot water on demand system, and the roof — carry a depreciation adjustment reflecting their useful life. For this analysis, those items are depreciated at 50%</w:t>
      </w:r>
      <w:r w:rsidR="00CE3635">
        <w:rPr>
          <w:sz w:val="21"/>
          <w:szCs w:val="21"/>
        </w:rPr>
        <w:t xml:space="preserve"> (although they have more than 50% life remaining)</w:t>
      </w:r>
      <w:r>
        <w:rPr>
          <w:sz w:val="21"/>
          <w:szCs w:val="21"/>
        </w:rPr>
        <w:t>. All other</w:t>
      </w:r>
      <w:r>
        <w:rPr>
          <w:sz w:val="21"/>
          <w:szCs w:val="21"/>
        </w:rPr>
        <w:t xml:space="preserve"> construction items are depreciated at 10%.</w:t>
      </w:r>
    </w:p>
    <w:p w:rsidR="0066613A" w:rsidRDefault="000C3B49">
      <w:pPr>
        <w:spacing w:after="140"/>
      </w:pPr>
      <w:r>
        <w:rPr>
          <w:sz w:val="21"/>
          <w:szCs w:val="21"/>
        </w:rPr>
        <w:t>It is worth noting that a meaningful portion of items in the higher depreciation category have been recently replaced or refreshed as part of the 2025–2026 property refresh program. Both Daikin air conditioning s</w:t>
      </w:r>
      <w:r>
        <w:rPr>
          <w:sz w:val="21"/>
          <w:szCs w:val="21"/>
        </w:rPr>
        <w:t xml:space="preserve">ystems were replaced in 2023–2024. Decorative light fixtures in the dining room, kitchen, nook, and primary </w:t>
      </w:r>
      <w:proofErr w:type="spellStart"/>
      <w:r>
        <w:rPr>
          <w:sz w:val="21"/>
          <w:szCs w:val="21"/>
        </w:rPr>
        <w:t>ensuite</w:t>
      </w:r>
      <w:proofErr w:type="spellEnd"/>
      <w:r>
        <w:rPr>
          <w:sz w:val="21"/>
          <w:szCs w:val="21"/>
        </w:rPr>
        <w:t xml:space="preserve"> were replaced in January 2026. The hardwood floors were sanded and refinished and the travertine floors were re-polished, both in 2026. The </w:t>
      </w:r>
      <w:r>
        <w:rPr>
          <w:sz w:val="21"/>
          <w:szCs w:val="21"/>
        </w:rPr>
        <w:t xml:space="preserve">home was repainted inside and out in 2025/2026. Total recent </w:t>
      </w:r>
      <w:r>
        <w:rPr>
          <w:sz w:val="21"/>
          <w:szCs w:val="21"/>
        </w:rPr>
        <w:lastRenderedPageBreak/>
        <w:t>refresh spend exceeds $110,000 in doc</w:t>
      </w:r>
      <w:bookmarkStart w:id="0" w:name="_GoBack"/>
      <w:bookmarkEnd w:id="0"/>
      <w:r>
        <w:rPr>
          <w:sz w:val="21"/>
          <w:szCs w:val="21"/>
        </w:rPr>
        <w:t xml:space="preserve">umented cash outlays. These investments reduce the effective depreciation </w:t>
      </w:r>
      <w:r w:rsidR="006135B0">
        <w:rPr>
          <w:sz w:val="21"/>
          <w:szCs w:val="21"/>
        </w:rPr>
        <w:t xml:space="preserve">below </w:t>
      </w:r>
      <w:r>
        <w:rPr>
          <w:sz w:val="21"/>
          <w:szCs w:val="21"/>
        </w:rPr>
        <w:t xml:space="preserve">what the 50% rate would otherwise suggest for </w:t>
      </w:r>
      <w:r>
        <w:rPr>
          <w:sz w:val="21"/>
          <w:szCs w:val="21"/>
        </w:rPr>
        <w:t>items of this vi</w:t>
      </w:r>
      <w:r>
        <w:rPr>
          <w:sz w:val="21"/>
          <w:szCs w:val="21"/>
        </w:rPr>
        <w:t>ntage.</w:t>
      </w:r>
    </w:p>
    <w:p w:rsidR="0066613A" w:rsidRDefault="000C3B49">
      <w:pPr>
        <w:pStyle w:val="Heading2"/>
      </w:pPr>
      <w:r>
        <w:t>Valuation Summary</w:t>
      </w:r>
    </w:p>
    <w:p w:rsidR="0066613A" w:rsidRDefault="000C3B49">
      <w:pPr>
        <w:spacing w:after="140"/>
      </w:pPr>
      <w:r w:rsidRPr="00CE3635">
        <w:rPr>
          <w:b/>
          <w:sz w:val="21"/>
          <w:szCs w:val="21"/>
        </w:rPr>
        <w:t xml:space="preserve">Total replacement cost </w:t>
      </w:r>
      <w:r w:rsidR="00CE3635" w:rsidRPr="00CE3635">
        <w:rPr>
          <w:b/>
          <w:sz w:val="21"/>
          <w:szCs w:val="21"/>
        </w:rPr>
        <w:t>is estimated at</w:t>
      </w:r>
      <w:r w:rsidRPr="00CE3635">
        <w:rPr>
          <w:b/>
          <w:sz w:val="21"/>
          <w:szCs w:val="21"/>
        </w:rPr>
        <w:t xml:space="preserve"> approximately $7.25M</w:t>
      </w:r>
      <w:r w:rsidR="00CE3635">
        <w:rPr>
          <w:sz w:val="21"/>
          <w:szCs w:val="21"/>
        </w:rPr>
        <w:t xml:space="preserve"> </w:t>
      </w:r>
      <w:r w:rsidR="00CE3635">
        <w:rPr>
          <w:sz w:val="21"/>
          <w:szCs w:val="21"/>
        </w:rPr>
        <w:t>(lot at $2.3M + property transfer tax + construction at $4.5M + financing at $400K)</w:t>
      </w:r>
      <w:r>
        <w:rPr>
          <w:sz w:val="21"/>
          <w:szCs w:val="21"/>
        </w:rPr>
        <w:t>. After applying 10% depreciation on core building elements and 50% on time-limited items (roofing, app</w:t>
      </w:r>
      <w:r>
        <w:rPr>
          <w:sz w:val="21"/>
          <w:szCs w:val="21"/>
        </w:rPr>
        <w:t>liances, fixtures), total depreciation is approximately $553,000</w:t>
      </w:r>
      <w:r w:rsidR="00CE3635">
        <w:rPr>
          <w:sz w:val="21"/>
          <w:szCs w:val="21"/>
        </w:rPr>
        <w:t>.</w:t>
      </w:r>
      <w:r w:rsidR="00E63444">
        <w:rPr>
          <w:sz w:val="21"/>
          <w:szCs w:val="21"/>
        </w:rPr>
        <w:t xml:space="preserve">  </w:t>
      </w:r>
      <w:r w:rsidR="00CE3635">
        <w:rPr>
          <w:b/>
          <w:sz w:val="21"/>
          <w:szCs w:val="21"/>
        </w:rPr>
        <w:t xml:space="preserve">This results in </w:t>
      </w:r>
      <w:r w:rsidRPr="00CE3635">
        <w:rPr>
          <w:b/>
          <w:sz w:val="21"/>
          <w:szCs w:val="21"/>
        </w:rPr>
        <w:t xml:space="preserve">an estimated </w:t>
      </w:r>
      <w:r w:rsidR="00CE3635">
        <w:rPr>
          <w:b/>
          <w:sz w:val="21"/>
          <w:szCs w:val="21"/>
        </w:rPr>
        <w:t xml:space="preserve">depreciated </w:t>
      </w:r>
      <w:r w:rsidRPr="00CE3635">
        <w:rPr>
          <w:b/>
          <w:sz w:val="21"/>
          <w:szCs w:val="21"/>
        </w:rPr>
        <w:t>value of approximately $6.7M</w:t>
      </w:r>
      <w:r>
        <w:rPr>
          <w:sz w:val="21"/>
          <w:szCs w:val="21"/>
        </w:rPr>
        <w:t>. At this price, the buyer saves over $550,000 versus building the property from scratch, plus 3.25 years of planning, permitting and const</w:t>
      </w:r>
      <w:r>
        <w:rPr>
          <w:sz w:val="21"/>
          <w:szCs w:val="21"/>
        </w:rPr>
        <w:t>ruction</w:t>
      </w:r>
      <w:r w:rsidR="00CE3635">
        <w:rPr>
          <w:sz w:val="21"/>
          <w:szCs w:val="21"/>
        </w:rPr>
        <w:t xml:space="preserve">, plus </w:t>
      </w:r>
      <w:r w:rsidR="00FE49F7">
        <w:rPr>
          <w:sz w:val="21"/>
          <w:szCs w:val="21"/>
        </w:rPr>
        <w:t xml:space="preserve">the risk of cost over-runs, </w:t>
      </w:r>
      <w:r>
        <w:rPr>
          <w:sz w:val="21"/>
          <w:szCs w:val="21"/>
        </w:rPr>
        <w:t>and the substantial personal time commitment of guiding a new build.</w:t>
      </w:r>
    </w:p>
    <w:p w:rsidR="00CE3635" w:rsidRPr="00944E2B" w:rsidRDefault="00CE3635">
      <w:pPr>
        <w:rPr>
          <w:b/>
          <w:bCs/>
          <w:i/>
          <w:sz w:val="26"/>
          <w:szCs w:val="26"/>
        </w:rPr>
      </w:pPr>
    </w:p>
    <w:p w:rsidR="0066613A" w:rsidRDefault="000C3B49">
      <w:pPr>
        <w:pStyle w:val="Heading2"/>
        <w:spacing w:before="0"/>
      </w:pPr>
      <w:r>
        <w:t>Construction Cost Comparison</w:t>
      </w:r>
    </w:p>
    <w:p w:rsidR="0066613A" w:rsidRDefault="000C3B49">
      <w:pPr>
        <w:spacing w:after="120"/>
      </w:pPr>
      <w:r>
        <w:rPr>
          <w:i/>
          <w:iCs/>
          <w:color w:val="666666"/>
          <w:sz w:val="18"/>
          <w:szCs w:val="18"/>
        </w:rPr>
        <w:t>Items below represent categories where there is a material difference between 4230 Lions Avenue and a typical new custom home in Edgemont. Items ass</w:t>
      </w:r>
      <w:r>
        <w:rPr>
          <w:i/>
          <w:iCs/>
          <w:color w:val="666666"/>
          <w:sz w:val="18"/>
          <w:szCs w:val="18"/>
        </w:rPr>
        <w:t>umed similar (foundation, framing, drywall, painting, insulation, roofing, landscaping) are captured in the base construction cost and not shown.</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8"/>
        <w:gridCol w:w="1069"/>
        <w:gridCol w:w="2487"/>
        <w:gridCol w:w="963"/>
        <w:gridCol w:w="1163"/>
      </w:tblGrid>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2C3E50"/>
            <w:tcMar>
              <w:top w:w="60" w:type="dxa"/>
              <w:left w:w="100" w:type="dxa"/>
              <w:bottom w:w="60" w:type="dxa"/>
              <w:right w:w="100" w:type="dxa"/>
            </w:tcMar>
            <w:vAlign w:val="center"/>
          </w:tcPr>
          <w:p w:rsidR="0066613A" w:rsidRDefault="000C3B49">
            <w:pPr>
              <w:jc w:val="center"/>
            </w:pPr>
            <w:r>
              <w:rPr>
                <w:b/>
                <w:bCs/>
                <w:color w:val="FFFFFF"/>
                <w:sz w:val="18"/>
                <w:szCs w:val="18"/>
              </w:rPr>
              <w:t>Component</w:t>
            </w:r>
          </w:p>
        </w:tc>
        <w:tc>
          <w:tcPr>
            <w:tcW w:w="900" w:type="dxa"/>
            <w:tcBorders>
              <w:top w:val="single" w:sz="1" w:space="0" w:color="CCCCCC"/>
              <w:left w:val="single" w:sz="1" w:space="0" w:color="CCCCCC"/>
              <w:bottom w:val="single" w:sz="1" w:space="0" w:color="CCCCCC"/>
              <w:right w:val="single" w:sz="1" w:space="0" w:color="CCCCCC"/>
            </w:tcBorders>
            <w:shd w:val="clear" w:color="auto" w:fill="2C3E50"/>
            <w:tcMar>
              <w:top w:w="60" w:type="dxa"/>
              <w:left w:w="100" w:type="dxa"/>
              <w:bottom w:w="60" w:type="dxa"/>
              <w:right w:w="100" w:type="dxa"/>
            </w:tcMar>
            <w:vAlign w:val="center"/>
          </w:tcPr>
          <w:p w:rsidR="0066613A" w:rsidRDefault="000C3B49">
            <w:pPr>
              <w:jc w:val="center"/>
            </w:pPr>
            <w:r>
              <w:rPr>
                <w:b/>
                <w:bCs/>
                <w:color w:val="FFFFFF"/>
                <w:sz w:val="18"/>
                <w:szCs w:val="18"/>
              </w:rPr>
              <w:t>4230 Lions</w:t>
            </w:r>
          </w:p>
        </w:tc>
        <w:tc>
          <w:tcPr>
            <w:tcW w:w="2800" w:type="dxa"/>
            <w:tcBorders>
              <w:top w:val="single" w:sz="1" w:space="0" w:color="CCCCCC"/>
              <w:left w:val="single" w:sz="1" w:space="0" w:color="CCCCCC"/>
              <w:bottom w:val="single" w:sz="1" w:space="0" w:color="CCCCCC"/>
              <w:right w:val="single" w:sz="1" w:space="0" w:color="CCCCCC"/>
            </w:tcBorders>
            <w:shd w:val="clear" w:color="auto" w:fill="2C3E50"/>
            <w:tcMar>
              <w:top w:w="60" w:type="dxa"/>
              <w:left w:w="100" w:type="dxa"/>
              <w:bottom w:w="60" w:type="dxa"/>
              <w:right w:w="100" w:type="dxa"/>
            </w:tcMar>
            <w:vAlign w:val="center"/>
          </w:tcPr>
          <w:p w:rsidR="0066613A" w:rsidRDefault="000C3B49">
            <w:pPr>
              <w:jc w:val="center"/>
            </w:pPr>
            <w:r>
              <w:rPr>
                <w:b/>
                <w:bCs/>
                <w:color w:val="FFFFFF"/>
                <w:sz w:val="18"/>
                <w:szCs w:val="18"/>
              </w:rPr>
              <w:t>Typical Edgemont Custom Build Assumed Specification</w:t>
            </w:r>
          </w:p>
        </w:tc>
        <w:tc>
          <w:tcPr>
            <w:tcW w:w="900" w:type="dxa"/>
            <w:tcBorders>
              <w:top w:val="single" w:sz="1" w:space="0" w:color="CCCCCC"/>
              <w:left w:val="single" w:sz="1" w:space="0" w:color="CCCCCC"/>
              <w:bottom w:val="single" w:sz="1" w:space="0" w:color="CCCCCC"/>
              <w:right w:val="single" w:sz="1" w:space="0" w:color="CCCCCC"/>
            </w:tcBorders>
            <w:shd w:val="clear" w:color="auto" w:fill="2C3E50"/>
            <w:tcMar>
              <w:top w:w="60" w:type="dxa"/>
              <w:left w:w="100" w:type="dxa"/>
              <w:bottom w:w="60" w:type="dxa"/>
              <w:right w:w="100" w:type="dxa"/>
            </w:tcMar>
            <w:vAlign w:val="center"/>
          </w:tcPr>
          <w:p w:rsidR="0066613A" w:rsidRDefault="000C3B49">
            <w:pPr>
              <w:jc w:val="center"/>
            </w:pPr>
            <w:r>
              <w:rPr>
                <w:b/>
                <w:bCs/>
                <w:color w:val="FFFFFF"/>
                <w:sz w:val="18"/>
                <w:szCs w:val="18"/>
              </w:rPr>
              <w:t>Edgemont Est. Cost</w:t>
            </w:r>
          </w:p>
        </w:tc>
        <w:tc>
          <w:tcPr>
            <w:tcW w:w="800" w:type="dxa"/>
            <w:tcBorders>
              <w:top w:val="single" w:sz="1" w:space="0" w:color="CCCCCC"/>
              <w:left w:val="single" w:sz="1" w:space="0" w:color="CCCCCC"/>
              <w:bottom w:val="single" w:sz="1" w:space="0" w:color="CCCCCC"/>
              <w:right w:val="single" w:sz="1" w:space="0" w:color="CCCCCC"/>
            </w:tcBorders>
            <w:shd w:val="clear" w:color="auto" w:fill="2C3E50"/>
            <w:tcMar>
              <w:top w:w="60" w:type="dxa"/>
              <w:left w:w="100" w:type="dxa"/>
              <w:bottom w:w="60" w:type="dxa"/>
              <w:right w:w="100" w:type="dxa"/>
            </w:tcMar>
            <w:vAlign w:val="center"/>
          </w:tcPr>
          <w:p w:rsidR="0066613A" w:rsidRDefault="000C3B49">
            <w:pPr>
              <w:jc w:val="center"/>
            </w:pPr>
            <w:r>
              <w:rPr>
                <w:b/>
                <w:bCs/>
                <w:color w:val="FFFFFF"/>
                <w:sz w:val="18"/>
                <w:szCs w:val="18"/>
              </w:rPr>
              <w:t>Delta</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Doors (1¾"</w:t>
            </w:r>
            <w:r>
              <w:rPr>
                <w:sz w:val="17"/>
                <w:szCs w:val="17"/>
              </w:rPr>
              <w:t xml:space="preserve"> fir on main/upper; 8' main, 6'8" upper; fir lift-and-glide corner unit)</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$200,000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 xml:space="preserve">Paint-grade and mid-range veneer interior; </w:t>
            </w:r>
            <w:proofErr w:type="spellStart"/>
            <w:r>
              <w:rPr>
                <w:sz w:val="16"/>
                <w:szCs w:val="16"/>
              </w:rPr>
              <w:t>Emtek</w:t>
            </w:r>
            <w:proofErr w:type="spellEnd"/>
            <w:r>
              <w:rPr>
                <w:sz w:val="16"/>
                <w:szCs w:val="16"/>
              </w:rPr>
              <w:t xml:space="preserve"> hardware; standard front + garage door</w:t>
            </w:r>
            <w:r w:rsidR="0055094F">
              <w:rPr>
                <w:sz w:val="16"/>
                <w:szCs w:val="16"/>
              </w:rPr>
              <w:t>, feature rear sliding door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$120,000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+$80,000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Windows (solid fir frames, folding kitchen window, band board)</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w:t>
            </w:r>
            <w:r>
              <w:rPr>
                <w:sz w:val="17"/>
                <w:szCs w:val="17"/>
              </w:rPr>
              <w:t>5</w:t>
            </w:r>
            <w:r>
              <w:rPr>
                <w:sz w:val="17"/>
                <w:szCs w:val="17"/>
              </w:rPr>
              <w:t>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55094F">
            <w:r>
              <w:rPr>
                <w:sz w:val="16"/>
                <w:szCs w:val="16"/>
              </w:rPr>
              <w:t>Mid-range aluminum-clad windows</w:t>
            </w:r>
            <w:r>
              <w:rPr>
                <w:sz w:val="16"/>
                <w:szCs w:val="16"/>
              </w:rPr>
              <w:t xml:space="preserve"> </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125,000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2</w:t>
            </w:r>
            <w:r>
              <w:rPr>
                <w:sz w:val="17"/>
                <w:szCs w:val="17"/>
              </w:rPr>
              <w:t>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Bluestone facing (all elevations, fireplaces, outdoor kitchen)</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$70,000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Stone veneer on front elevation only</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+$40,000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Fireplaces (2 large linear interior + outdoor)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Single fireplace with standard facing</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Air conditioning (dual Daikin — ducted + ductless)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Single-zone heat pump / AC, basic ducting</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Hot water on demand (recir</w:t>
            </w:r>
            <w:r>
              <w:rPr>
                <w:sz w:val="17"/>
                <w:szCs w:val="17"/>
              </w:rPr>
              <w:t>culation pumps)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High quality hot water tank (no recirculation)</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Electrical connection + backup power (400A, Cummins, 50A EV)</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$65,000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Standard 200A service, no generator, standard EV charger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641D4D">
            <w:r>
              <w:rPr>
                <w:sz w:val="17"/>
                <w:szCs w:val="17"/>
              </w:rPr>
              <w:t xml:space="preserve">Top </w:t>
            </w:r>
            <w:r w:rsidR="000C3B49">
              <w:rPr>
                <w:sz w:val="17"/>
                <w:szCs w:val="17"/>
              </w:rPr>
              <w:t>Appliances (Wolf / Sub-Zero / Miele / Bosch / F&amp;P)</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$115,000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Premium appliances (</w:t>
            </w:r>
            <w:proofErr w:type="spellStart"/>
            <w:r>
              <w:rPr>
                <w:sz w:val="16"/>
                <w:szCs w:val="16"/>
              </w:rPr>
              <w:t>Thermador</w:t>
            </w:r>
            <w:proofErr w:type="spellEnd"/>
            <w:r>
              <w:rPr>
                <w:sz w:val="16"/>
                <w:szCs w:val="16"/>
              </w:rPr>
              <w:t>, Viking)</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641D4D">
            <w:pPr>
              <w:jc w:val="right"/>
            </w:pPr>
            <w:r>
              <w:rPr>
                <w:sz w:val="17"/>
                <w:szCs w:val="17"/>
              </w:rPr>
              <w:t>$</w:t>
            </w:r>
            <w:r w:rsidR="00641D4D">
              <w:rPr>
                <w:sz w:val="17"/>
                <w:szCs w:val="17"/>
              </w:rPr>
              <w:t>70</w:t>
            </w:r>
            <w:r>
              <w:rPr>
                <w:sz w:val="17"/>
                <w:szCs w:val="17"/>
              </w:rPr>
              <w:t>,000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641D4D">
            <w:pPr>
              <w:jc w:val="right"/>
            </w:pPr>
            <w:r>
              <w:rPr>
                <w:sz w:val="17"/>
                <w:szCs w:val="17"/>
              </w:rPr>
              <w:t>+$</w:t>
            </w:r>
            <w:r w:rsidR="00641D4D">
              <w:rPr>
                <w:sz w:val="17"/>
                <w:szCs w:val="17"/>
              </w:rPr>
              <w:t>45</w:t>
            </w:r>
            <w:r>
              <w:rPr>
                <w:sz w:val="17"/>
                <w:szCs w:val="17"/>
              </w:rPr>
              <w:t>,000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Cabinetry incl. closets (solid cherry throughout, premium melamine closets)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3</w:t>
            </w:r>
            <w:r>
              <w:rPr>
                <w:sz w:val="17"/>
                <w:szCs w:val="17"/>
              </w:rPr>
              <w:t>00,000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P</w:t>
            </w:r>
            <w:r>
              <w:rPr>
                <w:sz w:val="16"/>
                <w:szCs w:val="16"/>
              </w:rPr>
              <w:t>aint-grade kitchen and bath cabinetry; mid-range closet organizers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Countertops (natural granite + travertine, mitered to 3" edge)</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9</w:t>
            </w:r>
            <w:r>
              <w:rPr>
                <w:sz w:val="17"/>
                <w:szCs w:val="17"/>
              </w:rPr>
              <w:t>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E</w:t>
            </w:r>
            <w:r>
              <w:rPr>
                <w:sz w:val="16"/>
                <w:szCs w:val="16"/>
              </w:rPr>
              <w:t>ngineered quartz throughout, standard edge profile</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4</w:t>
            </w:r>
            <w:r>
              <w:rPr>
                <w:sz w:val="17"/>
                <w:szCs w:val="17"/>
              </w:rPr>
              <w:t>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Fir coffered ceiling + baseboard (11’×23’ coffered ceiling, 1×8 fir baseboard)</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Standard drywall ceiling; basic MDF baseboard and trim</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lastRenderedPageBreak/>
              <w:t>Light fixtures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Mid-range decorative fixtures + pot lights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641D4D">
            <w:pPr>
              <w:jc w:val="right"/>
            </w:pPr>
            <w:r>
              <w:rPr>
                <w:sz w:val="17"/>
                <w:szCs w:val="17"/>
              </w:rPr>
              <w:t>$2</w:t>
            </w:r>
            <w:r w:rsidR="00641D4D">
              <w:rPr>
                <w:sz w:val="17"/>
                <w:szCs w:val="17"/>
              </w:rPr>
              <w:t>0</w:t>
            </w:r>
            <w:r>
              <w:rPr>
                <w:sz w:val="17"/>
                <w:szCs w:val="17"/>
              </w:rPr>
              <w:t>,000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6135B0">
            <w:pPr>
              <w:jc w:val="right"/>
            </w:pPr>
            <w:r>
              <w:rPr>
                <w:sz w:val="17"/>
                <w:szCs w:val="17"/>
              </w:rPr>
              <w:t>+$</w:t>
            </w:r>
            <w:r w:rsidR="00641D4D">
              <w:rPr>
                <w:sz w:val="17"/>
                <w:szCs w:val="17"/>
              </w:rPr>
              <w:t>5,00</w:t>
            </w:r>
            <w:r w:rsidR="000C3B49">
              <w:rPr>
                <w:sz w:val="17"/>
                <w:szCs w:val="17"/>
              </w:rPr>
              <w:t>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 xml:space="preserve">Electronics, automation &amp; </w:t>
            </w:r>
            <w:proofErr w:type="spellStart"/>
            <w:r>
              <w:rPr>
                <w:sz w:val="17"/>
                <w:szCs w:val="17"/>
              </w:rPr>
              <w:t>Sonos</w:t>
            </w:r>
            <w:proofErr w:type="spellEnd"/>
            <w:r>
              <w:rPr>
                <w:sz w:val="17"/>
                <w:szCs w:val="17"/>
              </w:rPr>
              <w:t xml:space="preserve"> (Lutron </w:t>
            </w:r>
            <w:proofErr w:type="spellStart"/>
            <w:r>
              <w:rPr>
                <w:sz w:val="17"/>
                <w:szCs w:val="17"/>
              </w:rPr>
              <w:t>RadioRA</w:t>
            </w:r>
            <w:proofErr w:type="spellEnd"/>
            <w:r>
              <w:rPr>
                <w:sz w:val="17"/>
                <w:szCs w:val="17"/>
              </w:rPr>
              <w:t xml:space="preserve">, </w:t>
            </w:r>
            <w:proofErr w:type="spellStart"/>
            <w:r>
              <w:rPr>
                <w:sz w:val="17"/>
                <w:szCs w:val="17"/>
              </w:rPr>
              <w:t>Sonos</w:t>
            </w:r>
            <w:proofErr w:type="spellEnd"/>
            <w:r>
              <w:rPr>
                <w:sz w:val="17"/>
                <w:szCs w:val="17"/>
              </w:rPr>
              <w:t xml:space="preserve"> in every room, A/V rack)</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5</w:t>
            </w:r>
            <w:r>
              <w:rPr>
                <w:sz w:val="17"/>
                <w:szCs w:val="17"/>
              </w:rPr>
              <w:t>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w:t>
            </w:r>
            <w:r>
              <w:rPr>
                <w:sz w:val="16"/>
                <w:szCs w:val="16"/>
              </w:rPr>
              <w:t xml:space="preserve">tandard pre-wire, basic Lutron, </w:t>
            </w:r>
            <w:proofErr w:type="spellStart"/>
            <w:r>
              <w:rPr>
                <w:sz w:val="16"/>
                <w:szCs w:val="16"/>
              </w:rPr>
              <w:t>Sonos</w:t>
            </w:r>
            <w:proofErr w:type="spellEnd"/>
            <w:r>
              <w:rPr>
                <w:sz w:val="16"/>
                <w:szCs w:val="16"/>
              </w:rPr>
              <w:t xml:space="preserve"> in common areas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641D4D">
            <w:pPr>
              <w:jc w:val="right"/>
            </w:pPr>
            <w:r>
              <w:rPr>
                <w:sz w:val="17"/>
                <w:szCs w:val="17"/>
              </w:rPr>
              <w:t>$</w:t>
            </w:r>
            <w:r w:rsidR="00641D4D">
              <w:rPr>
                <w:sz w:val="17"/>
                <w:szCs w:val="17"/>
              </w:rPr>
              <w:t>4</w:t>
            </w:r>
            <w:r>
              <w:rPr>
                <w:sz w:val="17"/>
                <w:szCs w:val="17"/>
              </w:rPr>
              <w:t>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w:t>
            </w:r>
            <w:r w:rsidR="00641D4D">
              <w:rPr>
                <w:sz w:val="17"/>
                <w:szCs w:val="17"/>
              </w:rPr>
              <w:t>1</w:t>
            </w:r>
            <w:r>
              <w:rPr>
                <w:sz w:val="17"/>
                <w:szCs w:val="17"/>
              </w:rPr>
              <w:t>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Plumbing fixtures (Grohe, Toto, Kohler digital shower + steam)</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$75,000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Standard mid-range fixtur</w:t>
            </w:r>
            <w:r>
              <w:rPr>
                <w:sz w:val="16"/>
                <w:szCs w:val="16"/>
              </w:rPr>
              <w:t>es (no digital controls or steam)</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$40,000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 xml:space="preserve">Flooring (sand-on-site </w:t>
            </w:r>
            <w:proofErr w:type="spellStart"/>
            <w:r>
              <w:rPr>
                <w:sz w:val="17"/>
                <w:szCs w:val="17"/>
              </w:rPr>
              <w:t>sapele</w:t>
            </w:r>
            <w:proofErr w:type="spellEnd"/>
            <w:r>
              <w:rPr>
                <w:sz w:val="17"/>
                <w:szCs w:val="17"/>
              </w:rPr>
              <w:t>, polished travertine, porcelain tile)</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$155,000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Premium engineered hardwood + porcelain tile throughout</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$125,000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Outdoor kitchen &amp;</w:t>
            </w:r>
            <w:r>
              <w:rPr>
                <w:sz w:val="17"/>
                <w:szCs w:val="17"/>
              </w:rPr>
              <w:t xml:space="preserve"> patio (DCS kitchen, fir trellis, glass roof + glass walls)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$140,000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Basic built-in BBQ, no enclosure</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$20,000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+$120,000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Sports pool &amp; spa (38’2" × 15’, formed, insulated, hydraulic cover)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$265,000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Not a feature of comparable homes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+$265,000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sidP="001B27F3">
            <w:r>
              <w:rPr>
                <w:sz w:val="17"/>
                <w:szCs w:val="17"/>
              </w:rPr>
              <w:t>Hockey rink (</w:t>
            </w:r>
            <w:r>
              <w:rPr>
                <w:sz w:val="17"/>
                <w:szCs w:val="17"/>
              </w:rPr>
              <w:t>35’</w:t>
            </w:r>
            <w:r w:rsidR="001B27F3">
              <w:rPr>
                <w:sz w:val="17"/>
                <w:szCs w:val="17"/>
              </w:rPr>
              <w:t xml:space="preserve"> x 16’3”</w:t>
            </w:r>
            <w:r>
              <w:rPr>
                <w:sz w:val="17"/>
                <w:szCs w:val="17"/>
              </w:rPr>
              <w:t xml:space="preserve"> indoor, structural steel, boards, glass)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w:t>
            </w:r>
            <w:r>
              <w:rPr>
                <w:sz w:val="17"/>
                <w:szCs w:val="17"/>
              </w:rPr>
              <w:t>90,000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Not a feature of comparable homes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+$90,000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Home theater (4K Sony, in-wall speakers, acoustics, seating, bar)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$105,000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Not a feature of comparable homes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+$105,000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Putting green (lighted, practice net, chipping turf)</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Not a feature of comparable homes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+$30,000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7"/>
                <w:szCs w:val="17"/>
              </w:rPr>
              <w:t>Outdoor structures (pool equipment room + 2 sheds, matching house finishes)</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$60,000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Basic garden shed</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roofErr w:type="spellStart"/>
            <w:r>
              <w:rPr>
                <w:sz w:val="17"/>
                <w:szCs w:val="17"/>
              </w:rPr>
              <w:t>Lindab</w:t>
            </w:r>
            <w:proofErr w:type="spellEnd"/>
            <w:r>
              <w:rPr>
                <w:sz w:val="17"/>
                <w:szCs w:val="17"/>
              </w:rPr>
              <w:t xml:space="preserve"> steel downspouts (premium 3" European steel, full perimeter)</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w:t>
            </w:r>
          </w:p>
        </w:tc>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r>
              <w:rPr>
                <w:sz w:val="16"/>
                <w:szCs w:val="16"/>
              </w:rPr>
              <w:t>Standard aluminum (included in base build)</w:t>
            </w:r>
          </w:p>
        </w:tc>
        <w:tc>
          <w:tcPr>
            <w:tcW w:w="9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$0</w:t>
            </w:r>
          </w:p>
        </w:tc>
        <w:tc>
          <w:tcPr>
            <w:tcW w:w="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rsidR="0066613A" w:rsidRDefault="000C3B49">
            <w:pPr>
              <w:jc w:val="right"/>
            </w:pPr>
            <w:r>
              <w:rPr>
                <w:sz w:val="17"/>
                <w:szCs w:val="17"/>
              </w:rPr>
              <w:t>+$5,000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r>
              <w:rPr>
                <w:b/>
                <w:bCs/>
                <w:sz w:val="17"/>
                <w:szCs w:val="17"/>
              </w:rPr>
              <w:t>Subtotal — upgrade items</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b/>
                <w:bCs/>
                <w:sz w:val="17"/>
                <w:szCs w:val="17"/>
              </w:rPr>
              <w:t>$2,135,000</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66613A"/>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b/>
                <w:bCs/>
                <w:sz w:val="17"/>
                <w:szCs w:val="17"/>
              </w:rPr>
              <w:t>$890,000</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b/>
                <w:bCs/>
                <w:sz w:val="17"/>
                <w:szCs w:val="17"/>
              </w:rPr>
              <w:t>+$1,245,000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r>
              <w:rPr>
                <w:sz w:val="17"/>
                <w:szCs w:val="17"/>
              </w:rPr>
              <w:t>GST (5%)</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sz w:val="17"/>
                <w:szCs w:val="17"/>
              </w:rPr>
              <w:t>$90,000</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66613A"/>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sz w:val="17"/>
                <w:szCs w:val="17"/>
              </w:rPr>
              <w:t>$45,000</w:t>
            </w:r>
          </w:p>
        </w:tc>
        <w:tc>
          <w:tcPr>
            <w:tcW w:w="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rsidR="0066613A" w:rsidRDefault="000C3B49">
            <w:pPr>
              <w:jc w:val="right"/>
            </w:pPr>
            <w:r>
              <w:rPr>
                <w:sz w:val="17"/>
                <w:szCs w:val="17"/>
              </w:rPr>
              <w:t>+$45,000</w:t>
            </w:r>
          </w:p>
        </w:tc>
      </w:tr>
      <w:tr w:rsidR="0066613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1E8"/>
            <w:tcMar>
              <w:top w:w="60" w:type="dxa"/>
              <w:left w:w="100" w:type="dxa"/>
              <w:bottom w:w="60" w:type="dxa"/>
              <w:right w:w="100" w:type="dxa"/>
            </w:tcMar>
            <w:vAlign w:val="center"/>
          </w:tcPr>
          <w:p w:rsidR="0066613A" w:rsidRDefault="000C3B49">
            <w:r>
              <w:rPr>
                <w:b/>
                <w:bCs/>
                <w:sz w:val="19"/>
                <w:szCs w:val="19"/>
              </w:rPr>
              <w:t>Total — upgrade items incl. GST</w:t>
            </w:r>
          </w:p>
        </w:tc>
        <w:tc>
          <w:tcPr>
            <w:tcW w:w="900" w:type="dxa"/>
            <w:tcBorders>
              <w:top w:val="single" w:sz="1" w:space="0" w:color="CCCCCC"/>
              <w:left w:val="single" w:sz="1" w:space="0" w:color="CCCCCC"/>
              <w:bottom w:val="single" w:sz="1" w:space="0" w:color="CCCCCC"/>
              <w:right w:val="single" w:sz="1" w:space="0" w:color="CCCCCC"/>
            </w:tcBorders>
            <w:shd w:val="clear" w:color="auto" w:fill="F5F1E8"/>
            <w:tcMar>
              <w:top w:w="60" w:type="dxa"/>
              <w:left w:w="100" w:type="dxa"/>
              <w:bottom w:w="60" w:type="dxa"/>
              <w:right w:w="100" w:type="dxa"/>
            </w:tcMar>
            <w:vAlign w:val="center"/>
          </w:tcPr>
          <w:p w:rsidR="0066613A" w:rsidRDefault="000C3B49">
            <w:pPr>
              <w:jc w:val="right"/>
            </w:pPr>
            <w:r>
              <w:rPr>
                <w:b/>
                <w:bCs/>
                <w:sz w:val="19"/>
                <w:szCs w:val="19"/>
              </w:rPr>
              <w:t>$2,225,000</w:t>
            </w:r>
          </w:p>
        </w:tc>
        <w:tc>
          <w:tcPr>
            <w:tcW w:w="2800" w:type="dxa"/>
            <w:tcBorders>
              <w:top w:val="single" w:sz="1" w:space="0" w:color="CCCCCC"/>
              <w:left w:val="single" w:sz="1" w:space="0" w:color="CCCCCC"/>
              <w:bottom w:val="single" w:sz="1" w:space="0" w:color="CCCCCC"/>
              <w:right w:val="single" w:sz="1" w:space="0" w:color="CCCCCC"/>
            </w:tcBorders>
            <w:shd w:val="clear" w:color="auto" w:fill="F5F1E8"/>
            <w:tcMar>
              <w:top w:w="60" w:type="dxa"/>
              <w:left w:w="100" w:type="dxa"/>
              <w:bottom w:w="60" w:type="dxa"/>
              <w:right w:w="100" w:type="dxa"/>
            </w:tcMar>
            <w:vAlign w:val="center"/>
          </w:tcPr>
          <w:p w:rsidR="0066613A" w:rsidRDefault="0066613A"/>
        </w:tc>
        <w:tc>
          <w:tcPr>
            <w:tcW w:w="900" w:type="dxa"/>
            <w:tcBorders>
              <w:top w:val="single" w:sz="1" w:space="0" w:color="CCCCCC"/>
              <w:left w:val="single" w:sz="1" w:space="0" w:color="CCCCCC"/>
              <w:bottom w:val="single" w:sz="1" w:space="0" w:color="CCCCCC"/>
              <w:right w:val="single" w:sz="1" w:space="0" w:color="CCCCCC"/>
            </w:tcBorders>
            <w:shd w:val="clear" w:color="auto" w:fill="F5F1E8"/>
            <w:tcMar>
              <w:top w:w="60" w:type="dxa"/>
              <w:left w:w="100" w:type="dxa"/>
              <w:bottom w:w="60" w:type="dxa"/>
              <w:right w:w="100" w:type="dxa"/>
            </w:tcMar>
            <w:vAlign w:val="center"/>
          </w:tcPr>
          <w:p w:rsidR="0066613A" w:rsidRDefault="000C3B49">
            <w:pPr>
              <w:jc w:val="right"/>
            </w:pPr>
            <w:r>
              <w:rPr>
                <w:b/>
                <w:bCs/>
                <w:sz w:val="19"/>
                <w:szCs w:val="19"/>
              </w:rPr>
              <w:t>$935,000</w:t>
            </w:r>
          </w:p>
        </w:tc>
        <w:tc>
          <w:tcPr>
            <w:tcW w:w="800" w:type="dxa"/>
            <w:tcBorders>
              <w:top w:val="single" w:sz="1" w:space="0" w:color="CCCCCC"/>
              <w:left w:val="single" w:sz="1" w:space="0" w:color="CCCCCC"/>
              <w:bottom w:val="single" w:sz="1" w:space="0" w:color="CCCCCC"/>
              <w:right w:val="single" w:sz="1" w:space="0" w:color="CCCCCC"/>
            </w:tcBorders>
            <w:shd w:val="clear" w:color="auto" w:fill="F5F1E8"/>
            <w:tcMar>
              <w:top w:w="60" w:type="dxa"/>
              <w:left w:w="100" w:type="dxa"/>
              <w:bottom w:w="60" w:type="dxa"/>
              <w:right w:w="100" w:type="dxa"/>
            </w:tcMar>
            <w:vAlign w:val="center"/>
          </w:tcPr>
          <w:p w:rsidR="0066613A" w:rsidRDefault="000C3B49">
            <w:pPr>
              <w:jc w:val="right"/>
            </w:pPr>
            <w:r>
              <w:rPr>
                <w:b/>
                <w:bCs/>
                <w:sz w:val="19"/>
                <w:szCs w:val="19"/>
              </w:rPr>
              <w:t>+$1,290,000</w:t>
            </w:r>
          </w:p>
        </w:tc>
      </w:tr>
    </w:tbl>
    <w:p w:rsidR="007C6267" w:rsidRPr="007C6267" w:rsidRDefault="000C3B49">
      <w:pPr>
        <w:spacing w:before="200"/>
        <w:rPr>
          <w:i/>
          <w:iCs/>
          <w:color w:val="888888"/>
          <w:sz w:val="17"/>
          <w:szCs w:val="17"/>
        </w:rPr>
      </w:pPr>
      <w:r>
        <w:rPr>
          <w:i/>
          <w:iCs/>
          <w:color w:val="888888"/>
          <w:sz w:val="17"/>
          <w:szCs w:val="17"/>
        </w:rPr>
        <w:t>All values are estimates rounded to the nearest $5,000. The seller takes no responsibility for the accuracy of these estimates.</w:t>
      </w:r>
      <w:r w:rsidR="007C6267">
        <w:rPr>
          <w:i/>
          <w:iCs/>
          <w:color w:val="888888"/>
          <w:sz w:val="17"/>
          <w:szCs w:val="17"/>
        </w:rPr>
        <w:t xml:space="preserve"> Some items in 4230 Lions Avenue column included GST, therefore GST on subtotal is less than 5% of subtotal.</w:t>
      </w:r>
    </w:p>
    <w:sectPr w:rsidR="007C6267" w:rsidRPr="007C6267" w:rsidSect="006B04AB">
      <w:headerReference w:type="default" r:id="rId7"/>
      <w:footerReference w:type="default" r:id="rId8"/>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49" w:rsidRDefault="000C3B49" w:rsidP="00944E2B">
      <w:r>
        <w:separator/>
      </w:r>
    </w:p>
  </w:endnote>
  <w:endnote w:type="continuationSeparator" w:id="0">
    <w:p w:rsidR="000C3B49" w:rsidRDefault="000C3B49" w:rsidP="0094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2B" w:rsidRPr="006B04AB" w:rsidRDefault="00944E2B">
    <w:pPr>
      <w:pStyle w:val="Footer"/>
      <w:rPr>
        <w:i/>
        <w:sz w:val="18"/>
      </w:rPr>
    </w:pPr>
    <w:r w:rsidRPr="006B04AB">
      <w:rPr>
        <w:i/>
        <w:sz w:val="18"/>
      </w:rPr>
      <w:t xml:space="preserve">All information contained herein </w:t>
    </w:r>
    <w:r w:rsidR="001C52C3">
      <w:rPr>
        <w:i/>
        <w:sz w:val="18"/>
      </w:rPr>
      <w:t>is</w:t>
    </w:r>
    <w:r w:rsidRPr="006B04AB">
      <w:rPr>
        <w:i/>
        <w:sz w:val="18"/>
      </w:rPr>
      <w:t xml:space="preserve"> estimate</w:t>
    </w:r>
    <w:r w:rsidR="001C52C3">
      <w:rPr>
        <w:i/>
        <w:sz w:val="18"/>
      </w:rPr>
      <w:t>d</w:t>
    </w:r>
    <w:r w:rsidRPr="006B04AB">
      <w:rPr>
        <w:i/>
        <w:sz w:val="18"/>
      </w:rPr>
      <w:t xml:space="preserve">.  Seller takes no responsibility for the accuracy of </w:t>
    </w:r>
    <w:r w:rsidR="00E63444" w:rsidRPr="006B04AB">
      <w:rPr>
        <w:i/>
        <w:sz w:val="18"/>
      </w:rPr>
      <w:t xml:space="preserve">any claims, information or values contained in </w:t>
    </w:r>
    <w:r w:rsidRPr="006B04AB">
      <w:rPr>
        <w:i/>
        <w:sz w:val="18"/>
      </w:rPr>
      <w:t xml:space="preserve">this document and </w:t>
    </w:r>
    <w:r w:rsidR="00E63444" w:rsidRPr="006B04AB">
      <w:rPr>
        <w:i/>
        <w:sz w:val="18"/>
      </w:rPr>
      <w:t xml:space="preserve">the </w:t>
    </w:r>
    <w:r w:rsidRPr="006B04AB">
      <w:rPr>
        <w:i/>
        <w:sz w:val="18"/>
      </w:rPr>
      <w:t xml:space="preserve">purchaser </w:t>
    </w:r>
    <w:r w:rsidR="00E63444" w:rsidRPr="006B04AB">
      <w:rPr>
        <w:i/>
        <w:sz w:val="18"/>
      </w:rPr>
      <w:t xml:space="preserve">is advised to seek </w:t>
    </w:r>
    <w:r w:rsidR="006B04AB" w:rsidRPr="006B04AB">
      <w:rPr>
        <w:i/>
        <w:sz w:val="18"/>
      </w:rPr>
      <w:t>their</w:t>
    </w:r>
    <w:r w:rsidR="00E63444" w:rsidRPr="006B04AB">
      <w:rPr>
        <w:i/>
        <w:sz w:val="18"/>
      </w:rPr>
      <w:t xml:space="preserve"> own independent analysis.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49" w:rsidRDefault="000C3B49" w:rsidP="00944E2B">
      <w:r>
        <w:separator/>
      </w:r>
    </w:p>
  </w:footnote>
  <w:footnote w:type="continuationSeparator" w:id="0">
    <w:p w:rsidR="000C3B49" w:rsidRDefault="000C3B49" w:rsidP="00944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AB" w:rsidRPr="006B04AB" w:rsidRDefault="006B04AB">
    <w:pPr>
      <w:pStyle w:val="Header"/>
      <w:rPr>
        <w:b/>
        <w:color w:val="FF0000"/>
        <w:sz w:val="20"/>
      </w:rPr>
    </w:pPr>
    <w:r w:rsidRPr="006B04AB">
      <w:rPr>
        <w:b/>
        <w:color w:val="FF0000"/>
        <w:sz w:val="20"/>
      </w:rPr>
      <w:t xml:space="preserve">CONFIDENTIAL DRAFT FOR SELLER'S </w:t>
    </w:r>
    <w:r w:rsidR="00282AAB">
      <w:rPr>
        <w:b/>
        <w:color w:val="FF0000"/>
        <w:sz w:val="20"/>
      </w:rPr>
      <w:t>AGENT ONLY</w:t>
    </w:r>
    <w:r w:rsidRPr="006B04AB">
      <w:rPr>
        <w:b/>
        <w:color w:val="FF0000"/>
        <w:sz w:val="20"/>
      </w:rPr>
      <w:t xml:space="preserve"> – DO NOT DISTRIBUTE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B13E2"/>
    <w:multiLevelType w:val="hybridMultilevel"/>
    <w:tmpl w:val="0D303C2C"/>
    <w:lvl w:ilvl="0" w:tplc="BE3CB30A">
      <w:start w:val="1"/>
      <w:numFmt w:val="bullet"/>
      <w:lvlText w:val="●"/>
      <w:lvlJc w:val="left"/>
      <w:pPr>
        <w:ind w:left="720" w:hanging="360"/>
      </w:pPr>
    </w:lvl>
    <w:lvl w:ilvl="1" w:tplc="2C8AEEC2">
      <w:start w:val="1"/>
      <w:numFmt w:val="bullet"/>
      <w:lvlText w:val="○"/>
      <w:lvlJc w:val="left"/>
      <w:pPr>
        <w:ind w:left="1440" w:hanging="360"/>
      </w:pPr>
    </w:lvl>
    <w:lvl w:ilvl="2" w:tplc="1072304C">
      <w:start w:val="1"/>
      <w:numFmt w:val="bullet"/>
      <w:lvlText w:val="■"/>
      <w:lvlJc w:val="left"/>
      <w:pPr>
        <w:ind w:left="2160" w:hanging="360"/>
      </w:pPr>
    </w:lvl>
    <w:lvl w:ilvl="3" w:tplc="3EB2B744">
      <w:start w:val="1"/>
      <w:numFmt w:val="bullet"/>
      <w:lvlText w:val="●"/>
      <w:lvlJc w:val="left"/>
      <w:pPr>
        <w:ind w:left="2880" w:hanging="360"/>
      </w:pPr>
    </w:lvl>
    <w:lvl w:ilvl="4" w:tplc="568A56DA">
      <w:start w:val="1"/>
      <w:numFmt w:val="bullet"/>
      <w:lvlText w:val="○"/>
      <w:lvlJc w:val="left"/>
      <w:pPr>
        <w:ind w:left="3600" w:hanging="360"/>
      </w:pPr>
    </w:lvl>
    <w:lvl w:ilvl="5" w:tplc="5776CE48">
      <w:start w:val="1"/>
      <w:numFmt w:val="bullet"/>
      <w:lvlText w:val="■"/>
      <w:lvlJc w:val="left"/>
      <w:pPr>
        <w:ind w:left="4320" w:hanging="360"/>
      </w:pPr>
    </w:lvl>
    <w:lvl w:ilvl="6" w:tplc="4CD85C28">
      <w:start w:val="1"/>
      <w:numFmt w:val="bullet"/>
      <w:lvlText w:val="●"/>
      <w:lvlJc w:val="left"/>
      <w:pPr>
        <w:ind w:left="5040" w:hanging="360"/>
      </w:pPr>
    </w:lvl>
    <w:lvl w:ilvl="7" w:tplc="BD5AC658">
      <w:start w:val="1"/>
      <w:numFmt w:val="bullet"/>
      <w:lvlText w:val="●"/>
      <w:lvlJc w:val="left"/>
      <w:pPr>
        <w:ind w:left="5760" w:hanging="360"/>
      </w:pPr>
    </w:lvl>
    <w:lvl w:ilvl="8" w:tplc="93E8D8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3A"/>
    <w:rsid w:val="000C3B49"/>
    <w:rsid w:val="001B27F3"/>
    <w:rsid w:val="001C52C3"/>
    <w:rsid w:val="00282AAB"/>
    <w:rsid w:val="0055094F"/>
    <w:rsid w:val="006135B0"/>
    <w:rsid w:val="00641D4D"/>
    <w:rsid w:val="0066613A"/>
    <w:rsid w:val="006B04AB"/>
    <w:rsid w:val="007C6267"/>
    <w:rsid w:val="00812B40"/>
    <w:rsid w:val="00851A28"/>
    <w:rsid w:val="00944E2B"/>
    <w:rsid w:val="00CE3635"/>
    <w:rsid w:val="00D75F79"/>
    <w:rsid w:val="00E63444"/>
    <w:rsid w:val="00FE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D3E5BA-1BE6-46A9-A3C6-6AA1A64C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00"/>
      <w:outlineLvl w:val="0"/>
    </w:pPr>
    <w:rPr>
      <w:b/>
      <w:bCs/>
      <w:sz w:val="32"/>
      <w:szCs w:val="32"/>
    </w:rPr>
  </w:style>
  <w:style w:type="paragraph" w:styleId="Heading2">
    <w:name w:val="heading 2"/>
    <w:qFormat/>
    <w:pPr>
      <w:spacing w:before="280" w:after="160"/>
      <w:outlineLvl w:val="1"/>
    </w:pPr>
    <w:rPr>
      <w:b/>
      <w:bCs/>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44E2B"/>
    <w:pPr>
      <w:tabs>
        <w:tab w:val="center" w:pos="4680"/>
        <w:tab w:val="right" w:pos="9360"/>
      </w:tabs>
    </w:pPr>
  </w:style>
  <w:style w:type="character" w:customStyle="1" w:styleId="HeaderChar">
    <w:name w:val="Header Char"/>
    <w:basedOn w:val="DefaultParagraphFont"/>
    <w:link w:val="Header"/>
    <w:uiPriority w:val="99"/>
    <w:rsid w:val="00944E2B"/>
  </w:style>
  <w:style w:type="paragraph" w:styleId="Footer">
    <w:name w:val="footer"/>
    <w:basedOn w:val="Normal"/>
    <w:link w:val="FooterChar"/>
    <w:uiPriority w:val="99"/>
    <w:unhideWhenUsed/>
    <w:rsid w:val="00944E2B"/>
    <w:pPr>
      <w:tabs>
        <w:tab w:val="center" w:pos="4680"/>
        <w:tab w:val="right" w:pos="9360"/>
      </w:tabs>
    </w:pPr>
  </w:style>
  <w:style w:type="character" w:customStyle="1" w:styleId="FooterChar">
    <w:name w:val="Footer Char"/>
    <w:basedOn w:val="DefaultParagraphFont"/>
    <w:link w:val="Footer"/>
    <w:uiPriority w:val="99"/>
    <w:rsid w:val="009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Holman</cp:lastModifiedBy>
  <cp:revision>6</cp:revision>
  <dcterms:created xsi:type="dcterms:W3CDTF">2026-04-18T17:26:00Z</dcterms:created>
  <dcterms:modified xsi:type="dcterms:W3CDTF">2026-04-18T17:41:00Z</dcterms:modified>
</cp:coreProperties>
</file>